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89" w:rsidRDefault="00190092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О приеме документов на установление тарифов на услуги по</w:t>
      </w:r>
      <w:r>
        <w:rPr>
          <w:b/>
          <w:bCs/>
        </w:rPr>
        <w:br/>
        <w:t>водоснабжению, водоотведению, очистке сточных вод в 2020 году</w:t>
      </w:r>
    </w:p>
    <w:p w:rsidR="00B81889" w:rsidRDefault="00190092">
      <w:pPr>
        <w:pStyle w:val="1"/>
        <w:shd w:val="clear" w:color="auto" w:fill="auto"/>
        <w:ind w:firstLine="720"/>
        <w:jc w:val="both"/>
      </w:pPr>
      <w:proofErr w:type="gramStart"/>
      <w:r>
        <w:t xml:space="preserve">Предложения об установлении тарифов в сфере водоснабжения и водоотведения тарифов (в том числе на услуги по подвозу воды) методом </w:t>
      </w:r>
      <w:r>
        <w:t xml:space="preserve">экономически обоснованных затрат, методом' индексации (с 2021 года), методом налогов, в соответствии с Правилами регулирования тарифов в сфере водоснабжения и водоотведения, утвержденных постановлением Правительства РФ от 13.05.2013 № 406 (далее - Правила </w:t>
      </w:r>
      <w:r>
        <w:t>регулирования), предоставляются в министерство тарифной политики Красноярского края в с</w:t>
      </w:r>
      <w:r>
        <w:rPr>
          <w:u w:val="single"/>
        </w:rPr>
        <w:t>рок с</w:t>
      </w:r>
      <w:proofErr w:type="gramEnd"/>
      <w:r>
        <w:rPr>
          <w:u w:val="single"/>
        </w:rPr>
        <w:t xml:space="preserve"> 20 апреля до 01 мая 2020 года.</w:t>
      </w:r>
    </w:p>
    <w:p w:rsidR="00B81889" w:rsidRDefault="00190092">
      <w:pPr>
        <w:pStyle w:val="1"/>
        <w:shd w:val="clear" w:color="auto" w:fill="auto"/>
        <w:ind w:firstLine="720"/>
        <w:jc w:val="both"/>
      </w:pPr>
      <w:r>
        <w:t xml:space="preserve">Сроки предоставления документов и материалов по корректировке тарифов, установленных на 2021 год методом индексации, продляются </w:t>
      </w:r>
      <w:r>
        <w:rPr>
          <w:u w:val="single"/>
        </w:rPr>
        <w:t>до 0</w:t>
      </w:r>
      <w:r>
        <w:rPr>
          <w:u w:val="single"/>
        </w:rPr>
        <w:t xml:space="preserve">1 </w:t>
      </w:r>
      <w:r>
        <w:t>с</w:t>
      </w:r>
      <w:r>
        <w:rPr>
          <w:u w:val="single"/>
        </w:rPr>
        <w:t>ентября 2020 года</w:t>
      </w:r>
      <w:r>
        <w:t>.</w:t>
      </w:r>
    </w:p>
    <w:p w:rsidR="00B81889" w:rsidRDefault="00190092">
      <w:pPr>
        <w:pStyle w:val="1"/>
        <w:shd w:val="clear" w:color="auto" w:fill="auto"/>
        <w:ind w:firstLine="720"/>
        <w:jc w:val="both"/>
      </w:pPr>
      <w:r>
        <w:t xml:space="preserve">Предложение об установлении тарифов состоит из заявления регулируемой организации, об установлении тарифов, в том числе </w:t>
      </w:r>
      <w:r>
        <w:rPr>
          <w:u w:val="single"/>
        </w:rPr>
        <w:t>по отдельным, регулируемым видам деятельности</w:t>
      </w:r>
      <w:r>
        <w:t xml:space="preserve"> (далее - заявление об установлении тарифов), и необходимых обосновыв</w:t>
      </w:r>
      <w:r>
        <w:t xml:space="preserve">ающих материалов, указанных в пункте 17 Правил', регулирования. В форме 2 Бухгалтерского баланса «Отчет о прибыли и убытках» показатели необходимо представить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видам деятельности.</w:t>
      </w:r>
    </w:p>
    <w:p w:rsidR="00B81889" w:rsidRDefault="00190092">
      <w:pPr>
        <w:pStyle w:val="1"/>
        <w:shd w:val="clear" w:color="auto" w:fill="auto"/>
        <w:ind w:firstLine="720"/>
        <w:jc w:val="both"/>
      </w:pPr>
      <w:r>
        <w:t xml:space="preserve">Обязательным требованием является предоставление </w:t>
      </w:r>
      <w:r>
        <w:rPr>
          <w:u w:val="single"/>
        </w:rPr>
        <w:t>копии правоустанавливаю</w:t>
      </w:r>
      <w:r>
        <w:rPr>
          <w:u w:val="single"/>
        </w:rPr>
        <w:t>щих документов</w:t>
      </w:r>
      <w:r>
        <w:t xml:space="preserve">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основание для владения, пользования и распоряжения в отношении объек</w:t>
      </w:r>
      <w:r>
        <w:t xml:space="preserve">тов недвижимости (зданий, строений, сооружений, земельных участков), используемых для осуществления! регулируемой деятельности, </w:t>
      </w:r>
      <w:r>
        <w:rPr>
          <w:u w:val="single"/>
        </w:rPr>
        <w:t>зарегистрированных в устан</w:t>
      </w:r>
      <w:r>
        <w:t>о</w:t>
      </w:r>
      <w:r>
        <w:rPr>
          <w:u w:val="single"/>
        </w:rPr>
        <w:t>вленном действующим законодательством порядке.</w:t>
      </w:r>
    </w:p>
    <w:p w:rsidR="00B81889" w:rsidRDefault="00190092">
      <w:pPr>
        <w:pStyle w:val="1"/>
        <w:shd w:val="clear" w:color="auto" w:fill="auto"/>
        <w:ind w:firstLine="720"/>
        <w:jc w:val="both"/>
      </w:pPr>
      <w:r>
        <w:t>По инициативе регулируемой, организации, помимо указан</w:t>
      </w:r>
      <w:r>
        <w:t>ных в пункте 17 Правил регулирования документов и материалов, могут быть представлены иные документы и материалы, которые, по ее мнению, имеют существенное значение для установления тарифов.</w:t>
      </w:r>
    </w:p>
    <w:p w:rsidR="00B81889" w:rsidRDefault="00190092">
      <w:pPr>
        <w:pStyle w:val="1"/>
        <w:shd w:val="clear" w:color="auto" w:fill="auto"/>
        <w:ind w:firstLine="720"/>
        <w:jc w:val="both"/>
      </w:pPr>
      <w:r>
        <w:t>Перечень документов и формы (в том числе форма заявления об устан</w:t>
      </w:r>
      <w:r>
        <w:t>овлении тарифов), предоставляемых в министерство тарифной политики для установления тарифов на услуги водоснабжения, водоотведения, очистки стоков методом экономически обоснованных расходов, методом, индексации, методом сравнения аналогов, корректировке та</w:t>
      </w:r>
      <w:r>
        <w:t>рифов размещены на официальном сайте министерства.</w:t>
      </w:r>
    </w:p>
    <w:p w:rsidR="00B81889" w:rsidRDefault="00190092">
      <w:pPr>
        <w:pStyle w:val="1"/>
        <w:shd w:val="clear" w:color="auto" w:fill="auto"/>
        <w:ind w:firstLine="720"/>
        <w:jc w:val="both"/>
      </w:pPr>
      <w:r>
        <w:t xml:space="preserve">Метод сравнения аналогов применяется при установлении тарифов на транспортировку холодной' воды (сточных вод) в отношении регулируемой организации, осуществляющей указанный вид регулируемой деятельности в </w:t>
      </w:r>
      <w:r>
        <w:t>зоне деятельности гарантирующей организации, если протяженность сетей холодного водоснабжения (водоотведения), эксплуатируемых этой регулируемой организацией, не превышает 10 километров в централизованной системе холодного водоснабжения (водоотведения).</w:t>
      </w:r>
    </w:p>
    <w:p w:rsidR="00B81889" w:rsidRDefault="00190092">
      <w:pPr>
        <w:pStyle w:val="1"/>
        <w:shd w:val="clear" w:color="auto" w:fill="auto"/>
        <w:ind w:firstLine="740"/>
        <w:jc w:val="both"/>
      </w:pPr>
      <w:r>
        <w:t>За</w:t>
      </w:r>
      <w:r>
        <w:t xml:space="preserve">явление об установлении тарифов подписывается руководителем </w:t>
      </w:r>
      <w:r>
        <w:lastRenderedPageBreak/>
        <w:t xml:space="preserve">организации, скрепляется печатью и содержит опись прилагаемых к нему документов и материалов и </w:t>
      </w:r>
      <w:r>
        <w:rPr>
          <w:b/>
          <w:bCs/>
          <w:u w:val="single"/>
        </w:rPr>
        <w:t xml:space="preserve">может быть направлено электронной почтой на адрес </w:t>
      </w:r>
      <w:hyperlink r:id="rId7" w:history="1">
        <w:r>
          <w:rPr>
            <w:b/>
            <w:bCs/>
            <w:u w:val="single"/>
            <w:lang w:val="en-US" w:eastAsia="en-US" w:bidi="en-US"/>
          </w:rPr>
          <w:t>krrec</w:t>
        </w:r>
        <w:r w:rsidRPr="00190092">
          <w:rPr>
            <w:b/>
            <w:bCs/>
            <w:u w:val="single"/>
            <w:lang w:eastAsia="en-US" w:bidi="en-US"/>
          </w:rPr>
          <w:t>@</w:t>
        </w:r>
        <w:r>
          <w:rPr>
            <w:b/>
            <w:bCs/>
            <w:u w:val="single"/>
            <w:lang w:val="en-US" w:eastAsia="en-US" w:bidi="en-US"/>
          </w:rPr>
          <w:t>mail</w:t>
        </w:r>
        <w:r w:rsidRPr="00190092">
          <w:rPr>
            <w:b/>
            <w:bCs/>
            <w:u w:val="single"/>
            <w:lang w:eastAsia="en-US" w:bidi="en-US"/>
          </w:rPr>
          <w:t>.</w:t>
        </w:r>
        <w:r>
          <w:rPr>
            <w:b/>
            <w:bCs/>
            <w:u w:val="single"/>
            <w:lang w:val="en-US" w:eastAsia="en-US" w:bidi="en-US"/>
          </w:rPr>
          <w:t>ru</w:t>
        </w:r>
      </w:hyperlink>
      <w:r w:rsidRPr="00190092">
        <w:rPr>
          <w:b/>
          <w:bCs/>
          <w:u w:val="single"/>
          <w:lang w:eastAsia="en-US" w:bidi="en-US"/>
        </w:rPr>
        <w:t xml:space="preserve"> </w:t>
      </w:r>
      <w:r>
        <w:rPr>
          <w:b/>
          <w:bCs/>
          <w:u w:val="single"/>
        </w:rPr>
        <w:t>пр</w:t>
      </w:r>
      <w:r>
        <w:rPr>
          <w:b/>
          <w:bCs/>
          <w:u w:val="single"/>
        </w:rPr>
        <w:t xml:space="preserve">и условии предварительного согласования с уполномоченным по делу о направлении такого письма. В рамках реализации мер, направленных на профилактику распространения </w:t>
      </w:r>
      <w:proofErr w:type="spellStart"/>
      <w:r>
        <w:rPr>
          <w:b/>
          <w:bCs/>
          <w:u w:val="single"/>
        </w:rPr>
        <w:t>коронавирусной</w:t>
      </w:r>
      <w:proofErr w:type="spellEnd"/>
      <w:r>
        <w:rPr>
          <w:b/>
          <w:bCs/>
          <w:u w:val="single"/>
        </w:rPr>
        <w:t xml:space="preserve"> инфекции, введен специальный режим посещения Министерства, ограничивающий лич</w:t>
      </w:r>
      <w:r>
        <w:rPr>
          <w:b/>
          <w:bCs/>
          <w:u w:val="single"/>
        </w:rPr>
        <w:t xml:space="preserve">ный прием граждан и представителей регулируемых организаций, в </w:t>
      </w:r>
      <w:proofErr w:type="gramStart"/>
      <w:r>
        <w:rPr>
          <w:b/>
          <w:bCs/>
          <w:u w:val="single"/>
        </w:rPr>
        <w:t>связи</w:t>
      </w:r>
      <w:proofErr w:type="gramEnd"/>
      <w:r>
        <w:rPr>
          <w:b/>
          <w:bCs/>
          <w:u w:val="single"/>
        </w:rPr>
        <w:t xml:space="preserve"> с чем передача тарифных дел осуществляется только по предварительному согласованию.</w:t>
      </w:r>
    </w:p>
    <w:p w:rsidR="00B81889" w:rsidRDefault="00190092">
      <w:pPr>
        <w:pStyle w:val="1"/>
        <w:shd w:val="clear" w:color="auto" w:fill="auto"/>
        <w:ind w:firstLine="740"/>
        <w:jc w:val="both"/>
      </w:pPr>
      <w:r>
        <w:t>Все предоставляемые расчеты и пояснительные записки подписываются руководителем организации (экономисто</w:t>
      </w:r>
      <w:r>
        <w:t>м - при наличии подписи руководителя), либо лицом, которому в соответствии с доверенностью предоставлено такое право. Копии документов заверяются в установленном законодательством порядке.</w:t>
      </w:r>
    </w:p>
    <w:p w:rsidR="00B81889" w:rsidRDefault="00190092">
      <w:pPr>
        <w:pStyle w:val="1"/>
        <w:shd w:val="clear" w:color="auto" w:fill="auto"/>
        <w:ind w:firstLine="740"/>
        <w:jc w:val="both"/>
      </w:pPr>
      <w:r>
        <w:t>Если в ходе анализа представленных регулируемыми организациями пред</w:t>
      </w:r>
      <w:r>
        <w:t xml:space="preserve">ложений об установлении тарифов </w:t>
      </w:r>
      <w:proofErr w:type="gramStart"/>
      <w:r>
        <w:t>возникнет необходимость уточнения предложения об установлении тарифов органом регулирования тарифов будут</w:t>
      </w:r>
      <w:proofErr w:type="gramEnd"/>
      <w:r>
        <w:t xml:space="preserve"> запрошены дополнительные сведения. Срок представления таких сведений определяется органом регулирования тарифов. Сведе</w:t>
      </w:r>
      <w:r>
        <w:t>ния, содержащие коммерческую тайну, должны иметь соответствующий гриф.</w:t>
      </w:r>
    </w:p>
    <w:p w:rsidR="00B81889" w:rsidRDefault="00190092">
      <w:pPr>
        <w:pStyle w:val="1"/>
        <w:shd w:val="clear" w:color="auto" w:fill="auto"/>
        <w:ind w:firstLine="740"/>
        <w:jc w:val="both"/>
      </w:pPr>
      <w:r>
        <w:t xml:space="preserve">Кроме вышеуказанных сведений просим представить решение органа местного самоуправления о наделении Вашей организации статусом </w:t>
      </w:r>
      <w:r>
        <w:rPr>
          <w:u w:val="single"/>
        </w:rPr>
        <w:t>гарантирующей организации</w:t>
      </w:r>
      <w:r>
        <w:t xml:space="preserve"> (при наличии статуса) с указанием</w:t>
      </w:r>
      <w:r>
        <w:t xml:space="preserve"> территориальных границ действия такого статуса. Отсутствие в тарифном деле такого решения будет расцениваться как отсутствие у Вашей организации статуса гарантирующей организации.</w:t>
      </w:r>
    </w:p>
    <w:p w:rsidR="00B81889" w:rsidRDefault="00190092">
      <w:pPr>
        <w:pStyle w:val="1"/>
        <w:shd w:val="clear" w:color="auto" w:fill="auto"/>
        <w:ind w:firstLine="740"/>
        <w:jc w:val="both"/>
      </w:pPr>
      <w:r>
        <w:t xml:space="preserve">Для гарантирующих организаций, в зоне деятельности которых имеются </w:t>
      </w:r>
      <w:r>
        <w:t>организации, осуществляющие транспортировку холодной воды, транспортировку сточных вод, тарифы для которых устанавливаются с применением метода сравнения аналогов, необходимо представить расчет размера удельных текущих расходов гарантирующей организации на</w:t>
      </w:r>
      <w:r>
        <w:t xml:space="preserve"> транспортировку холодной воды и (или) транспортировку сточных вод.</w:t>
      </w:r>
    </w:p>
    <w:p w:rsidR="00B81889" w:rsidRDefault="00190092">
      <w:pPr>
        <w:pStyle w:val="1"/>
        <w:shd w:val="clear" w:color="auto" w:fill="auto"/>
        <w:spacing w:after="300"/>
        <w:ind w:firstLine="740"/>
        <w:jc w:val="both"/>
      </w:pPr>
      <w:r>
        <w:t>Также, в обязательном порядке необходимо представить актуализированные схемы водоснабжения и водоотведения, утвержденные органом местного самоуправления, в соответствии с требованиями к со</w:t>
      </w:r>
      <w:r>
        <w:t>держанию схем водоснабжения и водоотведения, утвержденных постановлением Правительства РФ от 05.09.2013 № 782 «О схемах водоснабжения и водоотведения» (с уточнением организации, оказывающей услуги водоснабжения и водоотведения, объемов реализации услуг и п</w:t>
      </w:r>
      <w:r>
        <w:t>р.).</w:t>
      </w:r>
    </w:p>
    <w:p w:rsidR="00B81889" w:rsidRDefault="00190092">
      <w:pPr>
        <w:pStyle w:val="1"/>
        <w:shd w:val="clear" w:color="auto" w:fill="auto"/>
        <w:ind w:firstLine="740"/>
        <w:jc w:val="both"/>
      </w:pPr>
      <w:r>
        <w:t xml:space="preserve">При установлении тарифов </w:t>
      </w:r>
      <w:r>
        <w:rPr>
          <w:u w:val="single"/>
        </w:rPr>
        <w:t>методом индексации</w:t>
      </w:r>
      <w:r>
        <w:t xml:space="preserve"> тарифы на услуги водоснабжения и водоотведения будут устанавливаться сроком на 5 лет (при установлении впервые указанных тарифов - на срок </w:t>
      </w:r>
      <w:r>
        <w:rPr>
          <w:i/>
          <w:iCs/>
        </w:rPr>
        <w:t>3</w:t>
      </w:r>
      <w:r>
        <w:t xml:space="preserve"> года). При этом необходимо учитывать тот факт, что затраты, включа</w:t>
      </w:r>
      <w:r>
        <w:t xml:space="preserve">емые в операционные расходы в течение долгосрочного периода регулирования изменяются на индекс потребительских цен и индекс эффективности операционных расходов. Указанная информация должна учитываться при разработке плана </w:t>
      </w:r>
      <w:r>
        <w:lastRenderedPageBreak/>
        <w:t>капитального ремонта, затраты на р</w:t>
      </w:r>
      <w:r>
        <w:t xml:space="preserve">еализацию которого включаются в операционные расходы. Расходы на капитальный ремонт объектов системы водоснабжения и водоотведения должны быть подтверждены сметными расчетами на первый год долгосрочного периода регулирования с </w:t>
      </w:r>
      <w:proofErr w:type="gramStart"/>
      <w:r>
        <w:t>по</w:t>
      </w:r>
      <w:proofErr w:type="gramEnd"/>
      <w:r>
        <w:t xml:space="preserve"> следую</w:t>
      </w:r>
      <w:r>
        <w:rPr>
          <w:u w:val="single"/>
        </w:rPr>
        <w:t>щи</w:t>
      </w:r>
      <w:r>
        <w:t xml:space="preserve">м </w:t>
      </w:r>
      <w:r>
        <w:rPr>
          <w:u w:val="single"/>
        </w:rPr>
        <w:t>представлением с</w:t>
      </w:r>
      <w:r>
        <w:rPr>
          <w:u w:val="single"/>
        </w:rPr>
        <w:t>метных расчетов при корректировке тарифов.</w:t>
      </w:r>
    </w:p>
    <w:p w:rsidR="00B81889" w:rsidRDefault="00190092">
      <w:pPr>
        <w:pStyle w:val="1"/>
        <w:shd w:val="clear" w:color="auto" w:fill="auto"/>
        <w:spacing w:after="300"/>
        <w:ind w:firstLine="760"/>
        <w:jc w:val="both"/>
      </w:pPr>
      <w:r>
        <w:t>Также обращаем Ваше внимание, что экономическая обоснованность расходов на амортизацию (при любом методе регулирования) должна быть подтверждена карточками учета основных средств. Экономическая обоснованность расх</w:t>
      </w:r>
      <w:r>
        <w:t>одов на арендную плату, лизинговые платежи, концессионную плату (при любом методе регулирования) должна быть подтверждена в соответствии с п. 44 Основ ценообразования.</w:t>
      </w:r>
    </w:p>
    <w:p w:rsidR="00B81889" w:rsidRDefault="00190092">
      <w:pPr>
        <w:pStyle w:val="1"/>
        <w:shd w:val="clear" w:color="auto" w:fill="auto"/>
        <w:ind w:firstLine="760"/>
        <w:jc w:val="both"/>
      </w:pPr>
      <w:r>
        <w:rPr>
          <w:u w:val="single"/>
        </w:rPr>
        <w:t>Предложение о корректировке тарифов</w:t>
      </w:r>
      <w:r>
        <w:t xml:space="preserve"> должно содержать обосновывающие документы, подтвержд</w:t>
      </w:r>
      <w:r>
        <w:t>ающие величину корректировки, в соответствии с разделом VII Методических указаний.</w:t>
      </w:r>
    </w:p>
    <w:p w:rsidR="00B81889" w:rsidRDefault="00190092">
      <w:pPr>
        <w:pStyle w:val="1"/>
        <w:shd w:val="clear" w:color="auto" w:fill="auto"/>
        <w:ind w:firstLine="760"/>
        <w:jc w:val="both"/>
      </w:pPr>
      <w:r>
        <w:t xml:space="preserve">В случае непредставления предложения по корректировке тарифов на 2021 год, а также при непредставлении тарифного дела на очередной период регулирования (установление тарифов по имеющимся данным), </w:t>
      </w:r>
      <w:r>
        <w:rPr>
          <w:u w:val="single"/>
        </w:rPr>
        <w:t>в обязательном порядке в орган регулирования</w:t>
      </w:r>
      <w:r>
        <w:t xml:space="preserve"> направляются:</w:t>
      </w:r>
    </w:p>
    <w:p w:rsidR="00B81889" w:rsidRDefault="00190092">
      <w:pPr>
        <w:pStyle w:val="1"/>
        <w:numPr>
          <w:ilvl w:val="0"/>
          <w:numId w:val="1"/>
        </w:numPr>
        <w:shd w:val="clear" w:color="auto" w:fill="auto"/>
        <w:tabs>
          <w:tab w:val="left" w:pos="1429"/>
        </w:tabs>
        <w:ind w:firstLine="760"/>
        <w:jc w:val="both"/>
      </w:pPr>
      <w:r>
        <w:t>о</w:t>
      </w:r>
      <w:r>
        <w:t>тчетная калькуляция за 2019 год;</w:t>
      </w:r>
    </w:p>
    <w:p w:rsidR="00B81889" w:rsidRDefault="00190092">
      <w:pPr>
        <w:pStyle w:val="1"/>
        <w:numPr>
          <w:ilvl w:val="0"/>
          <w:numId w:val="1"/>
        </w:numPr>
        <w:shd w:val="clear" w:color="auto" w:fill="auto"/>
        <w:tabs>
          <w:tab w:val="left" w:pos="1429"/>
        </w:tabs>
        <w:ind w:firstLine="760"/>
        <w:jc w:val="both"/>
      </w:pPr>
      <w:r>
        <w:t>баланс водоснабжения и водоотведения на основе фактических показателей за 2019 год;</w:t>
      </w:r>
    </w:p>
    <w:p w:rsidR="00B81889" w:rsidRDefault="00190092">
      <w:pPr>
        <w:pStyle w:val="1"/>
        <w:numPr>
          <w:ilvl w:val="0"/>
          <w:numId w:val="1"/>
        </w:numPr>
        <w:shd w:val="clear" w:color="auto" w:fill="auto"/>
        <w:tabs>
          <w:tab w:val="left" w:pos="1429"/>
        </w:tabs>
        <w:ind w:firstLine="760"/>
        <w:jc w:val="both"/>
      </w:pPr>
      <w:r>
        <w:t>статистическая отчетность по формам 2-ТП «</w:t>
      </w:r>
      <w:proofErr w:type="spellStart"/>
      <w:r>
        <w:t>Водхоз</w:t>
      </w:r>
      <w:proofErr w:type="spellEnd"/>
      <w:r>
        <w:t>», 1- водопровод, 1-канализация за 3 предыдущих периода регулирования, П</w:t>
      </w:r>
      <w:proofErr w:type="gramStart"/>
      <w:r>
        <w:t>4</w:t>
      </w:r>
      <w:proofErr w:type="gramEnd"/>
      <w:r>
        <w:t xml:space="preserve"> «Сведения о числе</w:t>
      </w:r>
      <w:r>
        <w:t>нности и заработной плате работников»;</w:t>
      </w:r>
    </w:p>
    <w:p w:rsidR="00B81889" w:rsidRDefault="00190092">
      <w:pPr>
        <w:pStyle w:val="1"/>
        <w:numPr>
          <w:ilvl w:val="0"/>
          <w:numId w:val="1"/>
        </w:numPr>
        <w:shd w:val="clear" w:color="auto" w:fill="auto"/>
        <w:tabs>
          <w:tab w:val="left" w:pos="1429"/>
        </w:tabs>
        <w:ind w:firstLine="760"/>
        <w:jc w:val="both"/>
      </w:pPr>
      <w:r>
        <w:t>бухгалтерская отчетность. Форма 2 Бухгалтерского баланса «Отчет о прибыли и убытках» предоставляется в разрезе видов деятельности;</w:t>
      </w:r>
    </w:p>
    <w:p w:rsidR="00B81889" w:rsidRDefault="00190092">
      <w:pPr>
        <w:pStyle w:val="1"/>
        <w:numPr>
          <w:ilvl w:val="0"/>
          <w:numId w:val="1"/>
        </w:numPr>
        <w:shd w:val="clear" w:color="auto" w:fill="auto"/>
        <w:tabs>
          <w:tab w:val="left" w:pos="1429"/>
        </w:tabs>
        <w:ind w:firstLine="760"/>
        <w:jc w:val="both"/>
      </w:pPr>
      <w:r>
        <w:t>акты выполненных работ по капитальному ремонту;</w:t>
      </w:r>
    </w:p>
    <w:p w:rsidR="00B81889" w:rsidRDefault="00190092">
      <w:pPr>
        <w:pStyle w:val="1"/>
        <w:numPr>
          <w:ilvl w:val="0"/>
          <w:numId w:val="1"/>
        </w:numPr>
        <w:shd w:val="clear" w:color="auto" w:fill="auto"/>
        <w:tabs>
          <w:tab w:val="left" w:pos="1429"/>
        </w:tabs>
        <w:spacing w:after="300"/>
        <w:ind w:firstLine="760"/>
        <w:jc w:val="both"/>
      </w:pPr>
      <w:r>
        <w:t>другие документы, подтверждающие факти</w:t>
      </w:r>
      <w:r>
        <w:t>ческие затраты и величину корректировки необходимой валовой выручки.</w:t>
      </w:r>
    </w:p>
    <w:p w:rsidR="00B81889" w:rsidRDefault="00190092">
      <w:pPr>
        <w:pStyle w:val="1"/>
        <w:shd w:val="clear" w:color="auto" w:fill="auto"/>
        <w:ind w:firstLine="760"/>
        <w:jc w:val="both"/>
      </w:pPr>
      <w:r>
        <w:rPr>
          <w:b/>
          <w:bCs/>
        </w:rPr>
        <w:t>Кроме этого, напоминаем:</w:t>
      </w:r>
    </w:p>
    <w:p w:rsidR="00B81889" w:rsidRDefault="00190092">
      <w:pPr>
        <w:pStyle w:val="1"/>
        <w:shd w:val="clear" w:color="auto" w:fill="auto"/>
        <w:ind w:firstLine="760"/>
        <w:jc w:val="both"/>
      </w:pPr>
      <w:proofErr w:type="gramStart"/>
      <w:r>
        <w:t>В соответствии с постановлением Правительства РФ от 17.01.2013 № 6 «О стандартах раскрытия информации в сфере водоснабжения и водоотведения» регулируемая организа</w:t>
      </w:r>
      <w:r>
        <w:t xml:space="preserve">ция в течение 10 календарных дней со дня подачи заявления об установлении тарифов в сфере холодного водоснабжения, водоотведения в орган исполнительной власти субъекта Российской Федерации в области государственного регулирования тарифов, раскрывает путем </w:t>
      </w:r>
      <w:r>
        <w:t xml:space="preserve">опубликования на официальном сайте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органа</w:t>
      </w:r>
      <w:proofErr w:type="gramEnd"/>
      <w:r>
        <w:t xml:space="preserve"> исполнительной власти субъекта Российской Федерации в области государственного регулирования тарифов информацию, предусмотренную пунктами 25, 26, 46, 47 указанно</w:t>
      </w:r>
      <w:r>
        <w:t>го постановления.</w:t>
      </w:r>
    </w:p>
    <w:sectPr w:rsidR="00B81889" w:rsidSect="00190092">
      <w:pgSz w:w="11900" w:h="16840"/>
      <w:pgMar w:top="1033" w:right="710" w:bottom="284" w:left="1686" w:header="605" w:footer="31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89" w:rsidRDefault="00B81889" w:rsidP="00B81889">
      <w:r>
        <w:separator/>
      </w:r>
    </w:p>
  </w:endnote>
  <w:endnote w:type="continuationSeparator" w:id="0">
    <w:p w:rsidR="00B81889" w:rsidRDefault="00B81889" w:rsidP="00B81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89" w:rsidRDefault="00B81889"/>
  </w:footnote>
  <w:footnote w:type="continuationSeparator" w:id="0">
    <w:p w:rsidR="00B81889" w:rsidRDefault="00B818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2818"/>
    <w:multiLevelType w:val="multilevel"/>
    <w:tmpl w:val="E56AA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81889"/>
    <w:rsid w:val="00190092"/>
    <w:rsid w:val="00B8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18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1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B8188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re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7043</Characters>
  <Application>Microsoft Office Word</Application>
  <DocSecurity>0</DocSecurity>
  <Lines>58</Lines>
  <Paragraphs>16</Paragraphs>
  <ScaleCrop>false</ScaleCrop>
  <Company>Microsoft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2</cp:revision>
  <dcterms:created xsi:type="dcterms:W3CDTF">2020-04-07T02:49:00Z</dcterms:created>
  <dcterms:modified xsi:type="dcterms:W3CDTF">2020-04-07T02:50:00Z</dcterms:modified>
</cp:coreProperties>
</file>